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center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3005C"/>
          <w:spacing w:val="0"/>
          <w:sz w:val="27"/>
          <w:szCs w:val="27"/>
        </w:rPr>
        <w:t>台州市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3005C"/>
          <w:spacing w:val="0"/>
          <w:sz w:val="27"/>
          <w:szCs w:val="27"/>
          <w:lang w:val="en-US" w:eastAsia="zh-CN"/>
        </w:rPr>
        <w:t>新闻传媒中心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3005C"/>
          <w:spacing w:val="0"/>
          <w:sz w:val="27"/>
          <w:szCs w:val="27"/>
        </w:rPr>
        <w:t>2023年度逾期尚未支付中小企业款项信息公开公示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根据《保障中小企业款项支付条例》（国令第728号）第十六条工作要求，应将上一年度逾期尚未支付中小企业款项情况予以公示。现将本单位2023年度逾期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尚未支付中小企业款项情况公示如下：   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2023年，台州市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新闻传媒中心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根据国务院及省委省政府清理拖欠企业账款有关工作要求，积极开展防范和化解拖欠中小企业账款工作。截止2023年12月31日，本单位无逾期尚未支付中小企业款项情况。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如有异议，请在公示之日起5个工作日内向本单位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纪检监察室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反映。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联系人：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王高省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，联系电话：0576-885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82291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36" w:lineRule="atLeast"/>
        <w:ind w:left="0" w:firstLine="42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</w:p>
    <w:p>
      <w:pPr>
        <w:jc w:val="righ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  <w:t>台州市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新闻传媒中心</w:t>
      </w:r>
    </w:p>
    <w:p>
      <w:pPr>
        <w:jc w:val="right"/>
        <w:rPr>
          <w:rFonts w:hint="default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lang w:val="en-US" w:eastAsia="zh-CN"/>
        </w:rPr>
        <w:t>2024年4月11日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NjdjNDE3M2UzNWNiZGM3NjkxMTI2NDE5ODBjY2UifQ=="/>
  </w:docVars>
  <w:rsids>
    <w:rsidRoot w:val="0F830F5C"/>
    <w:rsid w:val="0F830F5C"/>
    <w:rsid w:val="45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2024-04-11T08:40:00Z</dcterms:created>
  <dc:creator>守中</dc:creator>
  <cp:lastModifiedBy>守中</cp:lastModifiedBy>
  <dcterms:modified xsi:type="dcterms:W3CDTF">2024-04-12T00:45:11Z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01D655974D914E74B52338A9B62F5055_11</vt:lpwstr>
  </property>
</Properties>
</file>